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12 (Supply Chain Visibility)</w:t>
      </w:r>
    </w:p>
    <w:p w:rsidR="00000000" w:rsidDel="00000000" w:rsidP="00000000" w:rsidRDefault="00000000" w:rsidRPr="00000000" w14:paraId="00000002">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4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trHeight w:val="20" w:hRule="atLeast"/>
        </w:trPr>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"Contracts Finder"</w:t>
            </w:r>
          </w:p>
        </w:tc>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Government’s publishing portal for public sector procurement opportunities; </w:t>
            </w:r>
          </w:p>
        </w:tc>
      </w:tr>
      <w:tr>
        <w:trPr>
          <w:trHeight w:val="20" w:hRule="atLeast"/>
        </w:trPr>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"SME"</w:t>
            </w:r>
          </w:p>
        </w:tc>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enterprise falling within the category of micro, small and medium sized enterprises defined by the Commission Recommendation of 6 May 2003 concerning the definition of micro, small and medium sized enterprises; </w:t>
            </w:r>
          </w:p>
        </w:tc>
      </w:tr>
      <w:tr>
        <w:trPr>
          <w:trHeight w:val="20" w:hRule="atLeast"/>
        </w:trPr>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“Supply Chain Information Report Template”</w:t>
            </w:r>
          </w:p>
        </w:tc>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 at Annex 1 of this Schedule 12; and</w:t>
            </w:r>
          </w:p>
        </w:tc>
      </w:tr>
      <w:tr>
        <w:trPr>
          <w:trHeight w:val="20" w:hRule="atLeast"/>
        </w:trPr>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"VCSE"</w:t>
            </w:r>
          </w:p>
        </w:tc>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non-governmental organisation that is value-driven and which principally reinvests its surpluses to further social, environmental or cultural objectives.</w:t>
            </w:r>
          </w:p>
        </w:tc>
      </w:tr>
      <w:tr>
        <w:trPr>
          <w:trHeight w:val="20" w:hRule="atLeast"/>
        </w:trPr>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0F">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Sub-Contract Opportunities in the Supply Chain </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2.3, advertise on Contracts Finder all Sub-Contract opportunities arising from or in connection with the provision of the Deliverables above a minimum threshold of £25,000 that arise during the Contract Period;</w:t>
      </w:r>
    </w:p>
    <w:p w:rsidR="00000000" w:rsidDel="00000000" w:rsidP="00000000" w:rsidRDefault="00000000" w:rsidRPr="00000000" w14:paraId="00000014">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90 days of awarding a Sub-Contract to a Subcontractor, update the notice on Contract Finder with details of the successful Subcontractor; </w:t>
      </w:r>
    </w:p>
    <w:p w:rsidR="00000000" w:rsidDel="00000000" w:rsidP="00000000" w:rsidRDefault="00000000" w:rsidRPr="00000000" w14:paraId="00000015">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the number, type and value of the Sub-Contract opportunities placed on Contracts Finder advertised and awarded in its supply chain during the Contract Period; </w:t>
      </w:r>
    </w:p>
    <w:p w:rsidR="00000000" w:rsidDel="00000000" w:rsidP="00000000" w:rsidRDefault="00000000" w:rsidRPr="00000000" w14:paraId="00000016">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reports on the information at Paragraph 2.1.3 to the Relevant Authority in the format and frequency as reasonably specified by the Relevant Authority; and </w:t>
      </w:r>
    </w:p>
    <w:p w:rsidR="00000000" w:rsidDel="00000000" w:rsidP="00000000" w:rsidRDefault="00000000" w:rsidRPr="00000000" w14:paraId="00000017">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promote Contracts Finder to its suppliers and encourage those organisations to register on Contracts Finder. </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advert referred to at Paragraph 2.1.1 of this Schedule 12 shall provide a full and detailed description of the Sub-Contract opportunity with each of the mandatory fields being completed on Contracts Finder by the Supplier. </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on the Supplier set out at Paragraph 2.1 shall only apply in respect of Sub-Contract opportunities arising after the Effective Date.</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 the Authority may by giving its prior Approval, agree that a Sub-Contract opportunity is not required to be advertised by the Supplier on Contracts Finder.  </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Supply Chain Spend</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rsidR="00000000" w:rsidDel="00000000" w:rsidP="00000000" w:rsidRDefault="00000000" w:rsidRPr="00000000" w14:paraId="00000023">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contract revenue received directly on the Contract;</w:t>
      </w:r>
    </w:p>
    <w:p w:rsidR="00000000" w:rsidDel="00000000" w:rsidP="00000000" w:rsidRDefault="00000000" w:rsidRPr="00000000" w14:paraId="0000002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under the Contract (including revenues for non-SMEs/non-VCSEs); and</w:t>
      </w:r>
    </w:p>
    <w:p w:rsidR="00000000" w:rsidDel="00000000" w:rsidP="00000000" w:rsidRDefault="00000000" w:rsidRPr="00000000" w14:paraId="00000025">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to SMEs and VCSEs.</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further agrees and acknowledges that it may not make any amendment to the Supply Chain Information Report Template without the prior Approval of the Authority.  </w:t>
      </w:r>
    </w:p>
    <w:p w:rsidR="00000000" w:rsidDel="00000000" w:rsidP="00000000" w:rsidRDefault="00000000" w:rsidRPr="00000000" w14:paraId="0000002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2C">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Supply Chain Information Report template</w:t>
      </w:r>
    </w:p>
    <w:p w:rsidR="00000000" w:rsidDel="00000000" w:rsidP="00000000" w:rsidRDefault="00000000" w:rsidRPr="00000000" w14:paraId="0000002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rFonts w:ascii="Arial" w:cs="Arial" w:eastAsia="Arial" w:hAnsi="Arial"/>
          <w:sz w:val="24"/>
          <w:szCs w:val="24"/>
        </w:rPr>
      </w:pPr>
      <w:r w:rsidDel="00000000" w:rsidR="00000000" w:rsidRPr="00000000">
        <w:rPr>
          <w:rFonts w:ascii="Arial" w:cs="Arial" w:eastAsia="Arial" w:hAnsi="Arial"/>
          <w:sz w:val="24"/>
          <w:szCs w:val="24"/>
        </w:rPr>
        <w:drawing>
          <wp:inline distB="0" distT="0" distL="114300" distR="114300">
            <wp:extent cx="1483360" cy="721360"/>
            <wp:effectExtent b="0" l="0" r="0" 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483360" cy="721360"/>
                    </a:xfrm>
                    <a:prstGeom prst="rect"/>
                    <a:ln/>
                  </pic:spPr>
                </pic:pic>
              </a:graphicData>
            </a:graphic>
          </wp:inline>
        </w:drawing>
      </w:r>
      <w:r w:rsidDel="00000000" w:rsidR="00000000" w:rsidRPr="00000000">
        <w:rPr>
          <w:rtl w:val="0"/>
        </w:rPr>
      </w:r>
    </w:p>
    <w:p w:rsidR="00000000" w:rsidDel="00000000" w:rsidP="00000000" w:rsidRDefault="00000000" w:rsidRPr="00000000" w14:paraId="0000003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1">
      <w:pPr>
        <w:rPr>
          <w:rFonts w:ascii="Arial" w:cs="Arial" w:eastAsia="Arial" w:hAnsi="Arial"/>
          <w:sz w:val="24"/>
          <w:szCs w:val="24"/>
        </w:rPr>
      </w:pPr>
      <w:r w:rsidDel="00000000" w:rsidR="00000000" w:rsidRPr="00000000">
        <w:rPr>
          <w:rtl w:val="0"/>
        </w:rPr>
      </w:r>
    </w:p>
    <w:sectPr>
      <w:headerReference r:id="rId8" w:type="default"/>
      <w:footerReference r:id="rId9"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Framework Ref: </w:t>
    </w:r>
    <w:r w:rsidDel="00000000" w:rsidR="00000000" w:rsidRPr="00000000">
      <w:rPr>
        <w:rFonts w:ascii="Arial" w:cs="Arial" w:eastAsia="Arial" w:hAnsi="Arial"/>
        <w:rtl w:val="0"/>
      </w:rPr>
      <w:t xml:space="preserve">RM6168 – Estate Management Services</w:t>
    </w: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Project Version: 1.0</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Model Version 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Joint Schedule 12 (Supply Chain Visibility)</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Crown Copyright 20</w:t>
    </w:r>
    <w:r w:rsidDel="00000000" w:rsidR="00000000" w:rsidRPr="00000000">
      <w:rPr>
        <w:rFonts w:ascii="Arial" w:cs="Arial" w:eastAsia="Arial" w:hAnsi="Arial"/>
        <w:rtl w:val="0"/>
      </w:rPr>
      <w:t xml:space="preserve">20</w:t>
    </w:r>
    <w:r w:rsidDel="00000000" w:rsidR="00000000" w:rsidRPr="00000000">
      <w:rPr>
        <w:rtl w:val="0"/>
      </w:rPr>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440" w:hanging="1080"/>
      </w:pPr>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saIwjRSlWICwK36jxqGiyZ2jh2A==">AMUW2mV4rxHXlk/ih7mY5CoHiTFVjWl9PXWmsjvVcN/0pmTRItOba57wxOy1i18QtTljsssOEf8nFMAo6DFd1c/hfLNWFEAibfpQ2FDhSbVQ7ocFYm+v9RsSZsiz/gsVzokbiobH18XO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